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6"/>
      </w:tblGrid>
      <w:tr w:rsidR="00A17731" w:rsidRPr="00783F1A" w14:paraId="0F19969C" w14:textId="77777777">
        <w:trPr>
          <w:trHeight w:val="696"/>
          <w:jc w:val="center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4901E" w14:textId="77777777" w:rsidR="00A17731" w:rsidRPr="00783F1A" w:rsidRDefault="009159F7" w:rsidP="000654AF">
            <w:pPr>
              <w:pStyle w:val="Header"/>
              <w:tabs>
                <w:tab w:val="left" w:pos="6480"/>
              </w:tabs>
            </w:pPr>
            <w:r w:rsidRPr="00783F1A">
              <w:rPr>
                <w:rFonts w:ascii="Cambria" w:eastAsia="Cambria" w:hAnsi="Cambria" w:cs="Cambria"/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56DDDF" wp14:editId="758A9B7C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0</wp:posOffset>
                  </wp:positionV>
                  <wp:extent cx="1419225" cy="408940"/>
                  <wp:effectExtent l="0" t="0" r="9525" b="0"/>
                  <wp:wrapTight wrapText="bothSides">
                    <wp:wrapPolygon edited="0">
                      <wp:start x="6958" y="0"/>
                      <wp:lineTo x="3189" y="0"/>
                      <wp:lineTo x="0" y="7043"/>
                      <wp:lineTo x="0" y="20124"/>
                      <wp:lineTo x="21455" y="20124"/>
                      <wp:lineTo x="21455" y="1006"/>
                      <wp:lineTo x="20585" y="0"/>
                      <wp:lineTo x="9858" y="0"/>
                      <wp:lineTo x="6958" y="0"/>
                    </wp:wrapPolygon>
                  </wp:wrapTight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d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089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7731" w:rsidRPr="00783F1A" w14:paraId="7A0078BA" w14:textId="77777777">
        <w:trPr>
          <w:trHeight w:val="200"/>
          <w:jc w:val="center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8BA1" w14:textId="77777777" w:rsidR="00A17731" w:rsidRPr="00783F1A" w:rsidRDefault="009159F7" w:rsidP="000654AF">
            <w:pPr>
              <w:pStyle w:val="Header"/>
              <w:tabs>
                <w:tab w:val="left" w:pos="6480"/>
              </w:tabs>
              <w:ind w:left="12"/>
              <w:jc w:val="center"/>
            </w:pPr>
            <w:r w:rsidRPr="00783F1A">
              <w:rPr>
                <w:rFonts w:ascii="Helvetica"/>
                <w:b/>
                <w:bCs/>
                <w:sz w:val="16"/>
                <w:szCs w:val="16"/>
              </w:rPr>
              <w:t>Automotive Component Manufacturers Association Of India</w:t>
            </w:r>
          </w:p>
        </w:tc>
      </w:tr>
    </w:tbl>
    <w:p w14:paraId="7F245E38" w14:textId="77777777" w:rsidR="00A17731" w:rsidRPr="00783F1A" w:rsidRDefault="00A17731" w:rsidP="000654AF">
      <w:pPr>
        <w:tabs>
          <w:tab w:val="left" w:pos="6480"/>
        </w:tabs>
        <w:jc w:val="center"/>
      </w:pPr>
    </w:p>
    <w:p w14:paraId="313F84DA" w14:textId="77777777" w:rsidR="00A17731" w:rsidRPr="00DE4839" w:rsidRDefault="009159F7" w:rsidP="000654AF">
      <w:pPr>
        <w:pStyle w:val="Title"/>
        <w:tabs>
          <w:tab w:val="left" w:pos="6480"/>
        </w:tabs>
        <w:rPr>
          <w:rFonts w:ascii="Arial" w:hAnsi="Arial" w:cs="Arial"/>
        </w:rPr>
      </w:pPr>
      <w:r w:rsidRPr="00DE4839">
        <w:rPr>
          <w:rFonts w:ascii="Arial" w:hAnsi="Arial" w:cs="Arial"/>
          <w:b/>
        </w:rPr>
        <w:t>Press Statement</w:t>
      </w:r>
      <w:r w:rsidRPr="00DE4839">
        <w:rPr>
          <w:rFonts w:ascii="Arial" w:hAnsi="Arial" w:cs="Arial"/>
        </w:rPr>
        <w:t xml:space="preserve"> </w:t>
      </w:r>
    </w:p>
    <w:p w14:paraId="6CD8786F" w14:textId="77777777" w:rsidR="00A16A97" w:rsidRPr="006F616D" w:rsidRDefault="00A16A97" w:rsidP="006F616D">
      <w:pPr>
        <w:pStyle w:val="Title"/>
        <w:tabs>
          <w:tab w:val="left" w:pos="6480"/>
        </w:tabs>
        <w:rPr>
          <w:rFonts w:ascii="Calibri" w:eastAsia="Tahoma" w:hAnsi="Calibri" w:cs="Calibri"/>
          <w:sz w:val="26"/>
          <w:szCs w:val="26"/>
        </w:rPr>
      </w:pPr>
    </w:p>
    <w:p w14:paraId="479120FA" w14:textId="08362284" w:rsidR="005849D9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bdr w:val="none" w:sz="0" w:space="0" w:color="auto"/>
          <w:lang w:val="en-GB" w:eastAsia="en-IN"/>
        </w:rPr>
      </w:pPr>
      <w:r w:rsidRPr="006F616D">
        <w:rPr>
          <w:rFonts w:ascii="Calibri" w:eastAsia="Times New Roman" w:hAnsi="Calibri" w:cs="Calibri"/>
          <w:b/>
          <w:bCs/>
          <w:color w:val="222222"/>
          <w:sz w:val="28"/>
          <w:szCs w:val="28"/>
          <w:bdr w:val="none" w:sz="0" w:space="0" w:color="auto"/>
          <w:lang w:val="en-GB" w:eastAsia="en-IN"/>
        </w:rPr>
        <w:t xml:space="preserve">ACMA welcomes a </w:t>
      </w:r>
      <w:r w:rsidR="00EE4E1D" w:rsidRPr="006F616D">
        <w:rPr>
          <w:rFonts w:ascii="Calibri" w:eastAsia="Times New Roman" w:hAnsi="Calibri" w:cs="Calibri"/>
          <w:b/>
          <w:bCs/>
          <w:color w:val="222222"/>
          <w:sz w:val="28"/>
          <w:szCs w:val="28"/>
          <w:bdr w:val="none" w:sz="0" w:space="0" w:color="auto"/>
          <w:lang w:val="en-GB" w:eastAsia="en-IN"/>
        </w:rPr>
        <w:t>pragmatic</w:t>
      </w:r>
      <w:r w:rsidRPr="006F616D">
        <w:rPr>
          <w:rFonts w:ascii="Calibri" w:eastAsia="Times New Roman" w:hAnsi="Calibri" w:cs="Calibri"/>
          <w:b/>
          <w:bCs/>
          <w:color w:val="222222"/>
          <w:sz w:val="28"/>
          <w:szCs w:val="28"/>
          <w:bdr w:val="none" w:sz="0" w:space="0" w:color="auto"/>
          <w:lang w:val="en-GB" w:eastAsia="en-IN"/>
        </w:rPr>
        <w:t xml:space="preserve"> Union Budget</w:t>
      </w:r>
    </w:p>
    <w:p w14:paraId="1FD6C46C" w14:textId="77777777" w:rsidR="00476925" w:rsidRDefault="00476925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bdr w:val="none" w:sz="0" w:space="0" w:color="auto"/>
          <w:lang w:val="en-GB" w:eastAsia="en-IN"/>
        </w:rPr>
      </w:pPr>
    </w:p>
    <w:p w14:paraId="454D566C" w14:textId="6581A263" w:rsidR="00476925" w:rsidRPr="00476925" w:rsidRDefault="003A42DF" w:rsidP="0047692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</w:pPr>
      <w:r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 xml:space="preserve">MSME Focus &amp; </w:t>
      </w:r>
      <w:r w:rsidR="00476925" w:rsidRPr="00476925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Handhold</w:t>
      </w:r>
      <w:r w:rsidR="006E21CA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ing scheme to promote Export &amp; Technology U</w:t>
      </w:r>
      <w:r w:rsidR="00476925" w:rsidRPr="00476925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pgra</w:t>
      </w:r>
      <w:r w:rsidR="00476925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d</w:t>
      </w:r>
      <w:r w:rsidR="00476925" w:rsidRPr="00476925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ation</w:t>
      </w:r>
    </w:p>
    <w:p w14:paraId="53254434" w14:textId="15FE9D37" w:rsidR="00476925" w:rsidRPr="00476925" w:rsidRDefault="00476925" w:rsidP="0047692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IN" w:eastAsia="en-IN"/>
        </w:rPr>
      </w:pPr>
      <w:r w:rsidRPr="00476925">
        <w:rPr>
          <w:rFonts w:ascii="Calibri" w:eastAsia="Times New Roman" w:hAnsi="Calibri" w:cs="Calibri"/>
          <w:color w:val="222222"/>
          <w:sz w:val="28"/>
          <w:szCs w:val="28"/>
          <w:bdr w:val="none" w:sz="0" w:space="0" w:color="auto"/>
          <w:lang w:val="en-GB" w:eastAsia="en-IN"/>
        </w:rPr>
        <w:t>Reiterates uniform 18% GST on all components</w:t>
      </w:r>
    </w:p>
    <w:p w14:paraId="2FFDD225" w14:textId="77777777" w:rsid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 </w:t>
      </w:r>
    </w:p>
    <w:p w14:paraId="7196D7A0" w14:textId="2BE5A13B" w:rsidR="005849D9" w:rsidRP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b/>
          <w:color w:val="222222"/>
          <w:sz w:val="26"/>
          <w:szCs w:val="26"/>
          <w:bdr w:val="none" w:sz="0" w:space="0" w:color="auto"/>
          <w:lang w:val="en-GB" w:eastAsia="en-IN"/>
        </w:rPr>
        <w:t xml:space="preserve">New Delhi, </w:t>
      </w:r>
      <w:r w:rsidR="00EE4E1D" w:rsidRPr="006F616D">
        <w:rPr>
          <w:rFonts w:ascii="Calibri" w:eastAsia="Times New Roman" w:hAnsi="Calibri" w:cs="Calibri"/>
          <w:b/>
          <w:color w:val="222222"/>
          <w:sz w:val="26"/>
          <w:szCs w:val="26"/>
          <w:bdr w:val="none" w:sz="0" w:space="0" w:color="auto"/>
          <w:lang w:val="en-GB" w:eastAsia="en-IN"/>
        </w:rPr>
        <w:t>February 01, 2020</w:t>
      </w:r>
      <w:r w:rsidRPr="006F616D">
        <w:rPr>
          <w:rFonts w:ascii="Calibri" w:eastAsia="Times New Roman" w:hAnsi="Calibri" w:cs="Calibri"/>
          <w:b/>
          <w:color w:val="222222"/>
          <w:sz w:val="26"/>
          <w:szCs w:val="26"/>
          <w:bdr w:val="none" w:sz="0" w:space="0" w:color="auto"/>
          <w:lang w:val="en-GB" w:eastAsia="en-IN"/>
        </w:rPr>
        <w:t>:</w:t>
      </w:r>
      <w:r w:rsidRPr="006F616D">
        <w:rPr>
          <w:rFonts w:ascii="Calibri" w:eastAsia="Times New Roman" w:hAnsi="Calibri" w:cs="Calibri"/>
          <w:bCs/>
          <w:color w:val="222222"/>
          <w:sz w:val="26"/>
          <w:szCs w:val="26"/>
          <w:bdr w:val="none" w:sz="0" w:space="0" w:color="auto"/>
          <w:lang w:val="en-GB" w:eastAsia="en-IN"/>
        </w:rPr>
        <w:t>  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ACMA, the apex body representing India’s auto component sector,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expressed satisfaction on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the measures announced in the Union Budget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especially for the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focus on development of rural economy, manufacturing, infrastructure</w:t>
      </w:r>
      <w:r w:rsidR="00EE4E1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&amp; logistics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, education &amp; skilling, </w:t>
      </w:r>
      <w:r w:rsidR="00EE4E1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tax reforms &amp; 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ease of doing business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and encouraging digitization. </w:t>
      </w:r>
    </w:p>
    <w:p w14:paraId="42DB00A6" w14:textId="77777777" w:rsidR="005849D9" w:rsidRP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 </w:t>
      </w:r>
    </w:p>
    <w:p w14:paraId="66B4ACF4" w14:textId="2EC35369" w:rsidR="005849D9" w:rsidRPr="006F616D" w:rsidRDefault="00637A0F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Thanking the</w:t>
      </w:r>
      <w:r w:rsidR="005849D9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the Union Finance Minister, Nirmala Sitharaman, </w:t>
      </w:r>
      <w:r w:rsidR="00EE4E1D"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 xml:space="preserve">Deepak Jain, </w:t>
      </w:r>
      <w:r w:rsidR="005849D9"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 xml:space="preserve">President </w:t>
      </w:r>
      <w:r w:rsidR="00EE4E1D"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ACMA, said</w:t>
      </w:r>
      <w:r w:rsidR="005849D9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, “</w:t>
      </w:r>
      <w:r w:rsidR="00EE4E1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The three levers of Aspirational India, Economic Develop and a Caring Society </w:t>
      </w:r>
      <w:r w:rsidR="004828B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enshrined in the Budget </w:t>
      </w:r>
      <w:r w:rsidR="00EE4E1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will be the bedrock to propel us further</w:t>
      </w:r>
      <w:r w:rsidR="005849D9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.”</w:t>
      </w:r>
    </w:p>
    <w:p w14:paraId="3C5C05E0" w14:textId="77777777" w:rsidR="005849D9" w:rsidRP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 </w:t>
      </w:r>
    </w:p>
    <w:p w14:paraId="315A382B" w14:textId="3EA58474" w:rsidR="005849D9" w:rsidRP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“We are glad that the Government 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h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a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s announced a Rs. 1,000 crore 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handholding 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scheme for 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mid-sized companies including those in the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Auto Components 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to give a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thrust to export development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, R&amp;D and t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echnology 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upgradation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.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The scheme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will help the </w:t>
      </w:r>
      <w:r w:rsidR="004828B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component </w:t>
      </w:r>
      <w:r w:rsidR="00CD2580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sector remain relevant and competitive.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This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has also been a </w:t>
      </w:r>
      <w:r w:rsidR="004828B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long-standing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request of ACMA.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”, </w:t>
      </w:r>
      <w:r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 xml:space="preserve">added </w:t>
      </w:r>
      <w:r w:rsidR="00CD2580"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Jain</w:t>
      </w:r>
      <w:r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.</w:t>
      </w:r>
    </w:p>
    <w:p w14:paraId="52C758A3" w14:textId="44A035B0" w:rsidR="00D80FD3" w:rsidRPr="006F616D" w:rsidRDefault="00D80FD3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</w:pPr>
    </w:p>
    <w:p w14:paraId="51387DEC" w14:textId="55C47370" w:rsidR="00D80FD3" w:rsidRPr="006F616D" w:rsidRDefault="004828BB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He further mentioned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“Being significantly dominated by MSME</w:t>
      </w:r>
      <w:r w:rsidR="00476925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s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, e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nabling measures to extend invoice financing to MSMEs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and 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creating access to working </w:t>
      </w:r>
      <w:r w:rsidR="00CE5CA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c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apital through a new scheme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are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a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welcome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step</w:t>
      </w:r>
      <w:r w:rsidR="00D80FD3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.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That apart, enhancing the turnover threshold for audit </w:t>
      </w:r>
      <w:r w:rsidR="00476925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of 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MSMEs from Rupees </w:t>
      </w:r>
      <w:r w:rsidR="00476925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O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ne Crore to Rupees Five crore will </w:t>
      </w:r>
      <w:r w:rsidR="00CE5CA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facilitate ‘ease of doing business.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”</w:t>
      </w:r>
    </w:p>
    <w:p w14:paraId="5F3744BC" w14:textId="7D2ECC84" w:rsidR="005849D9" w:rsidRPr="006F616D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   </w:t>
      </w:r>
    </w:p>
    <w:p w14:paraId="70736693" w14:textId="0EA775C2" w:rsidR="00CE5CAB" w:rsidRPr="006F616D" w:rsidRDefault="00CE5CAB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Measures adopted by the government to strengthen checks on imports due to FTA, review 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of Rules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of 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Origin, enhancing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safeguard duties and invoking Quality Control Order on import sensitive items will encourage 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‘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Make in India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’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. </w:t>
      </w:r>
    </w:p>
    <w:p w14:paraId="68DA1868" w14:textId="77777777" w:rsidR="00CE5CAB" w:rsidRPr="006F616D" w:rsidRDefault="00CE5CAB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</w:pPr>
    </w:p>
    <w:p w14:paraId="6654CB5E" w14:textId="0E083ABF" w:rsidR="005849D9" w:rsidRDefault="005849D9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Focus on </w:t>
      </w:r>
      <w:r w:rsidR="00CE5CAB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electronics manufacturing including electronic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equipment and semiconductor packaging is welcome and will encourage manufacturing of auto-electronics and components of electric vehicles. 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That apart, increase in </w:t>
      </w:r>
      <w:r w:rsidR="003A42D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import duty of CBUs – CVs, commercial EVs, SKD rate on electric vehicles and </w:t>
      </w:r>
      <w:r w:rsidR="0031296D"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CKD rate of electric vehicles will encourage localisation.</w:t>
      </w:r>
    </w:p>
    <w:p w14:paraId="0C91B745" w14:textId="77777777" w:rsidR="00476925" w:rsidRPr="006F616D" w:rsidRDefault="00476925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</w:pPr>
    </w:p>
    <w:p w14:paraId="5E0AC4A4" w14:textId="45CE710A" w:rsidR="005849D9" w:rsidRPr="00476925" w:rsidRDefault="006F616D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IN" w:eastAsia="en-IN"/>
        </w:rPr>
      </w:pP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“While we are happy that the process of</w:t>
      </w:r>
      <w:r w:rsidR="006E21CA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GST continues to be streamlined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and made effective, it is critical that the GST rate on all auto components be a uniform 18%. Currently </w:t>
      </w:r>
      <w:r w:rsidR="00476925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60%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 of auto components attract 18% while the rest are at 28%. Being an intermediary industry, reduction in rate will </w:t>
      </w:r>
      <w:r w:rsidR="00637A0F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>be revenue neutral</w:t>
      </w:r>
      <w:r w:rsidRPr="006F616D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/>
          <w:lang w:val="en-GB" w:eastAsia="en-IN"/>
        </w:rPr>
        <w:t xml:space="preserve">. It will also help curb grey operations in the auto components after market.”, added, </w:t>
      </w:r>
      <w:r w:rsidRPr="00476925">
        <w:rPr>
          <w:rFonts w:ascii="Calibri" w:eastAsia="Times New Roman" w:hAnsi="Calibri" w:cs="Calibri"/>
          <w:b/>
          <w:bCs/>
          <w:color w:val="222222"/>
          <w:sz w:val="26"/>
          <w:szCs w:val="26"/>
          <w:bdr w:val="none" w:sz="0" w:space="0" w:color="auto"/>
          <w:lang w:val="en-GB" w:eastAsia="en-IN"/>
        </w:rPr>
        <w:t>Jain</w:t>
      </w:r>
    </w:p>
    <w:p w14:paraId="54C5D924" w14:textId="0CCB6C0F" w:rsidR="006221F9" w:rsidRPr="006F616D" w:rsidRDefault="005B4D2C" w:rsidP="000654AF">
      <w:pPr>
        <w:tabs>
          <w:tab w:val="left" w:pos="6480"/>
        </w:tabs>
        <w:spacing w:line="240" w:lineRule="atLeast"/>
        <w:jc w:val="both"/>
        <w:rPr>
          <w:rFonts w:ascii="Calibri" w:hAnsi="Calibri" w:cs="Calibri"/>
        </w:rPr>
      </w:pP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Pr="006F616D">
        <w:rPr>
          <w:rFonts w:ascii="Calibri" w:hAnsi="Calibri" w:cs="Calibri"/>
        </w:rPr>
        <w:softHyphen/>
      </w:r>
      <w:r w:rsidR="006221F9" w:rsidRPr="006F616D">
        <w:rPr>
          <w:rFonts w:ascii="Calibri" w:hAnsi="Calibri" w:cs="Calibri"/>
        </w:rPr>
        <w:t>___________________________________________________________________________</w:t>
      </w:r>
    </w:p>
    <w:p w14:paraId="77C43755" w14:textId="77777777" w:rsidR="006F616D" w:rsidRDefault="006F616D" w:rsidP="006F616D">
      <w:pPr>
        <w:jc w:val="both"/>
        <w:rPr>
          <w:rFonts w:ascii="Calibri" w:eastAsia="Times New Roman" w:hAnsi="Calibri" w:cs="Calibri"/>
          <w:b/>
          <w:bCs/>
          <w:color w:val="auto"/>
          <w:bdr w:val="none" w:sz="0" w:space="0" w:color="auto"/>
          <w:lang w:val="en-IN" w:eastAsia="en-GB"/>
        </w:rPr>
      </w:pPr>
    </w:p>
    <w:p w14:paraId="04E61BC3" w14:textId="72FD3AC3" w:rsidR="0031296D" w:rsidRPr="0031296D" w:rsidRDefault="0031296D" w:rsidP="006F616D">
      <w:pPr>
        <w:jc w:val="both"/>
        <w:rPr>
          <w:rFonts w:ascii="Calibri" w:hAnsi="Calibri" w:cs="Calibri"/>
        </w:rPr>
      </w:pPr>
      <w:r w:rsidRPr="0031296D">
        <w:rPr>
          <w:rFonts w:ascii="Calibri" w:eastAsia="Times New Roman" w:hAnsi="Calibri" w:cs="Calibri"/>
          <w:b/>
          <w:bCs/>
          <w:color w:val="auto"/>
          <w:bdr w:val="none" w:sz="0" w:space="0" w:color="auto"/>
          <w:lang w:val="en-IN" w:eastAsia="en-GB"/>
        </w:rPr>
        <w:t xml:space="preserve">About ACMA: </w:t>
      </w:r>
    </w:p>
    <w:p w14:paraId="0AC3B7B9" w14:textId="77777777" w:rsidR="0031296D" w:rsidRPr="0031296D" w:rsidRDefault="0031296D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 xml:space="preserve">The Automotive Component Manufacturers Association of India (ACMA) is the apex body representing the interest of the Indian Auto Component Industry. It represents over 850 manufacturers in the organized sector. </w:t>
      </w:r>
    </w:p>
    <w:p w14:paraId="116BEA4F" w14:textId="77777777" w:rsidR="0031296D" w:rsidRPr="0031296D" w:rsidRDefault="0031296D" w:rsidP="006F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 xml:space="preserve">The Indian Auto-Component Industry contributes 2.3% to India’s National GDP and provides employment to 5 million people. The Industry witnessed a growth of 14.5% posting a turnover of Rs. 3,95,902 crore (USD 57.10 billion) in the FY 2018-19. While the exports showed a growth of 17.1% scaling to Rs. 106,048 crore (USD 15.16 billion) in FY 2018-19. The Aftermarket grew by 9.6% to Rs. 67,491 crore (USD 10.1 billion) from Rs 61,601 crore (USD 9.2billion) in the previous fiscal. </w:t>
      </w:r>
    </w:p>
    <w:p w14:paraId="07CB2274" w14:textId="77777777" w:rsidR="0031296D" w:rsidRPr="0031296D" w:rsidRDefault="0031296D" w:rsidP="003129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r w:rsidRPr="0031296D">
        <w:rPr>
          <w:rFonts w:ascii="Calibri" w:eastAsia="Times New Roman" w:hAnsi="Calibri" w:cs="Calibri"/>
          <w:b/>
          <w:bCs/>
          <w:color w:val="auto"/>
          <w:bdr w:val="none" w:sz="0" w:space="0" w:color="auto"/>
          <w:lang w:val="en-IN" w:eastAsia="en-GB"/>
        </w:rPr>
        <w:t>For further details: ACMA</w:t>
      </w:r>
      <w:r w:rsidRPr="0031296D">
        <w:rPr>
          <w:rFonts w:ascii="Calibri" w:eastAsia="Times New Roman" w:hAnsi="Calibri" w:cs="Calibri"/>
          <w:b/>
          <w:bCs/>
          <w:color w:val="auto"/>
          <w:bdr w:val="none" w:sz="0" w:space="0" w:color="auto"/>
          <w:lang w:val="en-IN" w:eastAsia="en-GB"/>
        </w:rPr>
        <w:br/>
      </w:r>
      <w:proofErr w:type="spellStart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>Upender</w:t>
      </w:r>
      <w:proofErr w:type="spellEnd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 xml:space="preserve"> Singh 9990125916 </w:t>
      </w:r>
      <w:r w:rsidRPr="0031296D">
        <w:rPr>
          <w:rFonts w:ascii="Calibri" w:eastAsia="Times New Roman" w:hAnsi="Calibri" w:cs="Calibri"/>
          <w:color w:val="0000FF"/>
          <w:bdr w:val="none" w:sz="0" w:space="0" w:color="auto"/>
          <w:lang w:val="en-IN" w:eastAsia="en-GB"/>
        </w:rPr>
        <w:t xml:space="preserve">Upender.singh@acma.in </w:t>
      </w:r>
    </w:p>
    <w:p w14:paraId="62B8D6BD" w14:textId="77777777" w:rsidR="00476925" w:rsidRDefault="0031296D" w:rsidP="003129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r w:rsidRPr="0031296D">
        <w:rPr>
          <w:rFonts w:ascii="Calibri" w:eastAsia="Times New Roman" w:hAnsi="Calibri" w:cs="Calibri"/>
          <w:b/>
          <w:bCs/>
          <w:color w:val="auto"/>
          <w:bdr w:val="none" w:sz="0" w:space="0" w:color="auto"/>
          <w:lang w:val="en-IN" w:eastAsia="en-GB"/>
        </w:rPr>
        <w:t xml:space="preserve">Archetype </w:t>
      </w:r>
    </w:p>
    <w:p w14:paraId="0A531BBF" w14:textId="711C38B8" w:rsidR="0031296D" w:rsidRPr="0031296D" w:rsidRDefault="0031296D" w:rsidP="003129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proofErr w:type="spellStart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>Laveena</w:t>
      </w:r>
      <w:proofErr w:type="spellEnd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 xml:space="preserve"> Vohra| 9711682237| </w:t>
      </w:r>
      <w:r w:rsidRPr="0031296D">
        <w:rPr>
          <w:rFonts w:ascii="Calibri" w:eastAsia="Times New Roman" w:hAnsi="Calibri" w:cs="Calibri"/>
          <w:color w:val="7F007F"/>
          <w:bdr w:val="none" w:sz="0" w:space="0" w:color="auto"/>
          <w:lang w:val="en-IN" w:eastAsia="en-GB"/>
        </w:rPr>
        <w:t xml:space="preserve">Laveena.vohra@archetype.co </w:t>
      </w:r>
    </w:p>
    <w:p w14:paraId="315C1DBE" w14:textId="77777777" w:rsidR="0031296D" w:rsidRPr="0031296D" w:rsidRDefault="0031296D" w:rsidP="003129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  <w:proofErr w:type="spellStart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>Swetank</w:t>
      </w:r>
      <w:proofErr w:type="spellEnd"/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 xml:space="preserve"> KumarI</w:t>
      </w:r>
      <w:r w:rsidRPr="0031296D">
        <w:rPr>
          <w:rFonts w:ascii="Calibri" w:eastAsia="Times New Roman" w:hAnsi="Calibri" w:cs="Calibri"/>
          <w:color w:val="28282D"/>
          <w:bdr w:val="none" w:sz="0" w:space="0" w:color="auto"/>
          <w:lang w:val="en-IN" w:eastAsia="en-GB"/>
        </w:rPr>
        <w:t xml:space="preserve">9818564004 </w:t>
      </w:r>
      <w:r w:rsidRPr="0031296D"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  <w:t>|</w:t>
      </w:r>
      <w:r w:rsidRPr="0031296D">
        <w:rPr>
          <w:rFonts w:ascii="Calibri" w:eastAsia="Times New Roman" w:hAnsi="Calibri" w:cs="Calibri"/>
          <w:color w:val="0000FF"/>
          <w:bdr w:val="none" w:sz="0" w:space="0" w:color="auto"/>
          <w:lang w:val="en-IN" w:eastAsia="en-GB"/>
        </w:rPr>
        <w:t xml:space="preserve">Shwetank.kumar@archetype.co </w:t>
      </w:r>
    </w:p>
    <w:p w14:paraId="35EDD412" w14:textId="208F08B9" w:rsidR="0031296D" w:rsidRPr="0031296D" w:rsidRDefault="0031296D" w:rsidP="003129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bdr w:val="none" w:sz="0" w:space="0" w:color="auto"/>
          <w:lang w:val="en-IN" w:eastAsia="en-GB"/>
        </w:rPr>
      </w:pPr>
    </w:p>
    <w:p w14:paraId="65C592BC" w14:textId="77777777" w:rsidR="0031296D" w:rsidRPr="006F616D" w:rsidRDefault="0031296D" w:rsidP="00250B09">
      <w:pPr>
        <w:jc w:val="both"/>
        <w:rPr>
          <w:rFonts w:ascii="Calibri" w:hAnsi="Calibri" w:cs="Calibri"/>
          <w:sz w:val="20"/>
        </w:rPr>
      </w:pPr>
    </w:p>
    <w:p w14:paraId="452817E3" w14:textId="2C427C22" w:rsidR="00A4137E" w:rsidRPr="006F616D" w:rsidRDefault="00CE5CAB" w:rsidP="000654AF">
      <w:pPr>
        <w:tabs>
          <w:tab w:val="left" w:pos="6480"/>
        </w:tabs>
        <w:jc w:val="center"/>
        <w:rPr>
          <w:rFonts w:ascii="Calibri" w:eastAsia="Tahoma Negreta" w:hAnsi="Calibri" w:cs="Calibri"/>
          <w:b/>
          <w:sz w:val="22"/>
          <w:szCs w:val="22"/>
        </w:rPr>
      </w:pPr>
      <w:r w:rsidRPr="006F616D">
        <w:rPr>
          <w:rFonts w:ascii="Calibri" w:hAnsi="Calibri" w:cs="Calibri"/>
          <w:sz w:val="20"/>
        </w:rPr>
        <w:t xml:space="preserve"> </w:t>
      </w:r>
    </w:p>
    <w:sectPr w:rsidR="00A4137E" w:rsidRPr="006F616D" w:rsidSect="006F616D">
      <w:headerReference w:type="default" r:id="rId8"/>
      <w:footerReference w:type="default" r:id="rId9"/>
      <w:pgSz w:w="11900" w:h="16840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B1863" w14:textId="77777777" w:rsidR="009D1197" w:rsidRDefault="009D1197">
      <w:r>
        <w:separator/>
      </w:r>
    </w:p>
  </w:endnote>
  <w:endnote w:type="continuationSeparator" w:id="0">
    <w:p w14:paraId="0DB26C61" w14:textId="77777777" w:rsidR="009D1197" w:rsidRDefault="009D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Negreta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9B7F" w14:textId="77777777" w:rsidR="007C0D1B" w:rsidRDefault="007C0D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25DB5" w14:textId="77777777" w:rsidR="009D1197" w:rsidRDefault="009D1197">
      <w:r>
        <w:separator/>
      </w:r>
    </w:p>
  </w:footnote>
  <w:footnote w:type="continuationSeparator" w:id="0">
    <w:p w14:paraId="4539028B" w14:textId="77777777" w:rsidR="009D1197" w:rsidRDefault="009D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66B8" w14:textId="77777777" w:rsidR="007C0D1B" w:rsidRDefault="007C0D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331"/>
    <w:multiLevelType w:val="multilevel"/>
    <w:tmpl w:val="59D4B5EE"/>
    <w:lvl w:ilvl="0">
      <w:start w:val="1"/>
      <w:numFmt w:val="bullet"/>
      <w:lvlText w:val="•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</w:abstractNum>
  <w:abstractNum w:abstractNumId="1" w15:restartNumberingAfterBreak="0">
    <w:nsid w:val="0D57697C"/>
    <w:multiLevelType w:val="multilevel"/>
    <w:tmpl w:val="1FDCACA2"/>
    <w:lvl w:ilvl="0">
      <w:numFmt w:val="bullet"/>
      <w:lvlText w:val="•"/>
      <w:lvlJc w:val="left"/>
      <w:rPr>
        <w:rFonts w:ascii="Tahoma Negreta" w:eastAsia="Tahoma Negreta" w:hAnsi="Tahoma Negreta" w:cs="Tahoma Negreta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000000"/>
        <w:position w:val="0"/>
        <w:u w:color="000000"/>
      </w:rPr>
    </w:lvl>
  </w:abstractNum>
  <w:abstractNum w:abstractNumId="2" w15:restartNumberingAfterBreak="0">
    <w:nsid w:val="10D73A01"/>
    <w:multiLevelType w:val="hybridMultilevel"/>
    <w:tmpl w:val="D8D03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52BC"/>
    <w:multiLevelType w:val="hybridMultilevel"/>
    <w:tmpl w:val="908A8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EC12F6"/>
    <w:multiLevelType w:val="hybridMultilevel"/>
    <w:tmpl w:val="362A7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966DA5"/>
    <w:multiLevelType w:val="multilevel"/>
    <w:tmpl w:val="29840D9A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425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330"/>
        </w:tabs>
        <w:ind w:left="33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1050"/>
        </w:tabs>
        <w:ind w:left="105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1770"/>
        </w:tabs>
        <w:ind w:left="177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Tahoma Negreta" w:eastAsia="Tahoma Negreta" w:hAnsi="Tahoma Negreta" w:cs="Tahoma Negreta"/>
        <w:b w:val="0"/>
        <w:bCs w:val="0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31136247"/>
    <w:multiLevelType w:val="hybridMultilevel"/>
    <w:tmpl w:val="21C4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1B11"/>
    <w:multiLevelType w:val="hybridMultilevel"/>
    <w:tmpl w:val="4D204D26"/>
    <w:lvl w:ilvl="0" w:tplc="3F643F4A">
      <w:numFmt w:val="bullet"/>
      <w:lvlText w:val=""/>
      <w:lvlJc w:val="left"/>
      <w:pPr>
        <w:ind w:left="1110" w:hanging="75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B5D"/>
    <w:multiLevelType w:val="hybridMultilevel"/>
    <w:tmpl w:val="097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52BD0"/>
    <w:multiLevelType w:val="hybridMultilevel"/>
    <w:tmpl w:val="F440D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80FCD"/>
    <w:multiLevelType w:val="hybridMultilevel"/>
    <w:tmpl w:val="A33E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172E6"/>
    <w:multiLevelType w:val="hybridMultilevel"/>
    <w:tmpl w:val="5066B790"/>
    <w:lvl w:ilvl="0" w:tplc="ADD417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0153A"/>
    <w:multiLevelType w:val="hybridMultilevel"/>
    <w:tmpl w:val="197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7F0C"/>
    <w:multiLevelType w:val="hybridMultilevel"/>
    <w:tmpl w:val="6812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0A56FD"/>
    <w:multiLevelType w:val="multilevel"/>
    <w:tmpl w:val="FCC4B2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788E2E77"/>
    <w:multiLevelType w:val="hybridMultilevel"/>
    <w:tmpl w:val="A9BC14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31"/>
    <w:rsid w:val="00001F9A"/>
    <w:rsid w:val="00043B52"/>
    <w:rsid w:val="000654AF"/>
    <w:rsid w:val="000A1699"/>
    <w:rsid w:val="000E7606"/>
    <w:rsid w:val="0011711F"/>
    <w:rsid w:val="001346F1"/>
    <w:rsid w:val="00140CB8"/>
    <w:rsid w:val="00175C94"/>
    <w:rsid w:val="001D080C"/>
    <w:rsid w:val="001D625E"/>
    <w:rsid w:val="00210B0F"/>
    <w:rsid w:val="00235A89"/>
    <w:rsid w:val="00250B09"/>
    <w:rsid w:val="00275D73"/>
    <w:rsid w:val="00296CB2"/>
    <w:rsid w:val="002A3EB7"/>
    <w:rsid w:val="002B48C1"/>
    <w:rsid w:val="002E692E"/>
    <w:rsid w:val="002E6F0C"/>
    <w:rsid w:val="002F5A81"/>
    <w:rsid w:val="0031296D"/>
    <w:rsid w:val="003302A7"/>
    <w:rsid w:val="003305BE"/>
    <w:rsid w:val="00393DE6"/>
    <w:rsid w:val="003A163C"/>
    <w:rsid w:val="003A42DF"/>
    <w:rsid w:val="003B3590"/>
    <w:rsid w:val="003D2DE3"/>
    <w:rsid w:val="00410C5A"/>
    <w:rsid w:val="00431859"/>
    <w:rsid w:val="00476925"/>
    <w:rsid w:val="004828BB"/>
    <w:rsid w:val="00484948"/>
    <w:rsid w:val="004B6BAC"/>
    <w:rsid w:val="004C4B99"/>
    <w:rsid w:val="004F7D79"/>
    <w:rsid w:val="00506C30"/>
    <w:rsid w:val="00544FBF"/>
    <w:rsid w:val="005849D9"/>
    <w:rsid w:val="005B2ABE"/>
    <w:rsid w:val="005B4D2C"/>
    <w:rsid w:val="005C5EAD"/>
    <w:rsid w:val="006221F9"/>
    <w:rsid w:val="00637A0F"/>
    <w:rsid w:val="00693519"/>
    <w:rsid w:val="006C181D"/>
    <w:rsid w:val="006E1E86"/>
    <w:rsid w:val="006E21CA"/>
    <w:rsid w:val="006F5DCF"/>
    <w:rsid w:val="006F616D"/>
    <w:rsid w:val="0075726B"/>
    <w:rsid w:val="00783F1A"/>
    <w:rsid w:val="00786E71"/>
    <w:rsid w:val="007C0D1B"/>
    <w:rsid w:val="007C429E"/>
    <w:rsid w:val="007C5032"/>
    <w:rsid w:val="00814EB1"/>
    <w:rsid w:val="00847E7B"/>
    <w:rsid w:val="00887E6C"/>
    <w:rsid w:val="008F77B1"/>
    <w:rsid w:val="009159F7"/>
    <w:rsid w:val="00930295"/>
    <w:rsid w:val="009D1197"/>
    <w:rsid w:val="009D1AAD"/>
    <w:rsid w:val="00A00B04"/>
    <w:rsid w:val="00A01E55"/>
    <w:rsid w:val="00A04571"/>
    <w:rsid w:val="00A06B68"/>
    <w:rsid w:val="00A10542"/>
    <w:rsid w:val="00A16A97"/>
    <w:rsid w:val="00A17731"/>
    <w:rsid w:val="00A27C3D"/>
    <w:rsid w:val="00A4137E"/>
    <w:rsid w:val="00A5378A"/>
    <w:rsid w:val="00A861CE"/>
    <w:rsid w:val="00AA209B"/>
    <w:rsid w:val="00AA7A67"/>
    <w:rsid w:val="00AB0D74"/>
    <w:rsid w:val="00AD566F"/>
    <w:rsid w:val="00AF6971"/>
    <w:rsid w:val="00B02042"/>
    <w:rsid w:val="00B021E1"/>
    <w:rsid w:val="00B25054"/>
    <w:rsid w:val="00B45099"/>
    <w:rsid w:val="00B60FB4"/>
    <w:rsid w:val="00B979E6"/>
    <w:rsid w:val="00BD72F5"/>
    <w:rsid w:val="00C27784"/>
    <w:rsid w:val="00C359A3"/>
    <w:rsid w:val="00C4416F"/>
    <w:rsid w:val="00C91D17"/>
    <w:rsid w:val="00CB6F65"/>
    <w:rsid w:val="00CD0BE0"/>
    <w:rsid w:val="00CD2580"/>
    <w:rsid w:val="00CE548B"/>
    <w:rsid w:val="00CE5CAB"/>
    <w:rsid w:val="00CF2985"/>
    <w:rsid w:val="00D01E76"/>
    <w:rsid w:val="00D05629"/>
    <w:rsid w:val="00D3200C"/>
    <w:rsid w:val="00D336B7"/>
    <w:rsid w:val="00D36CA1"/>
    <w:rsid w:val="00D455E6"/>
    <w:rsid w:val="00D46347"/>
    <w:rsid w:val="00D80FD3"/>
    <w:rsid w:val="00D96789"/>
    <w:rsid w:val="00DC5099"/>
    <w:rsid w:val="00DE2553"/>
    <w:rsid w:val="00DE4839"/>
    <w:rsid w:val="00E223EE"/>
    <w:rsid w:val="00E44C7B"/>
    <w:rsid w:val="00E578F5"/>
    <w:rsid w:val="00E60AA9"/>
    <w:rsid w:val="00E757D6"/>
    <w:rsid w:val="00E84624"/>
    <w:rsid w:val="00E9140F"/>
    <w:rsid w:val="00E93444"/>
    <w:rsid w:val="00EA173E"/>
    <w:rsid w:val="00EA61EA"/>
    <w:rsid w:val="00EC1AF2"/>
    <w:rsid w:val="00ED06AD"/>
    <w:rsid w:val="00EE4E1D"/>
    <w:rsid w:val="00EF78F2"/>
    <w:rsid w:val="00F43778"/>
    <w:rsid w:val="00F45440"/>
    <w:rsid w:val="00F64EC2"/>
    <w:rsid w:val="00F71EF1"/>
    <w:rsid w:val="00F92119"/>
    <w:rsid w:val="00FA3D74"/>
    <w:rsid w:val="00FA6BE7"/>
    <w:rsid w:val="00FB4EF2"/>
    <w:rsid w:val="00FE2126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7439A"/>
  <w15:docId w15:val="{DE5A272F-169E-4664-A2FA-6E050439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ahoma" w:hAnsi="Arial Unicode MS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pPr>
      <w:jc w:val="center"/>
    </w:pPr>
    <w:rPr>
      <w:rFonts w:ascii="Tahoma Negreta" w:hAnsi="Arial Unicode MS" w:cs="Arial Unicode MS"/>
      <w:color w:val="000000"/>
      <w:sz w:val="28"/>
      <w:szCs w:val="28"/>
      <w:u w:val="single" w:color="000000"/>
      <w:lang w:val="en-US"/>
    </w:rPr>
  </w:style>
  <w:style w:type="numbering" w:customStyle="1" w:styleId="List0">
    <w:name w:val="List 0"/>
    <w:basedOn w:val="ImportedStyle1"/>
    <w:pPr>
      <w:numPr>
        <w:numId w:val="4"/>
      </w:numPr>
    </w:pPr>
  </w:style>
  <w:style w:type="numbering" w:customStyle="1" w:styleId="ImportedStyle1">
    <w:name w:val="Imported Style 1"/>
  </w:style>
  <w:style w:type="character" w:customStyle="1" w:styleId="apple-converted-space">
    <w:name w:val="apple-converted-space"/>
    <w:basedOn w:val="DefaultParagraphFont"/>
    <w:rsid w:val="00CB6F65"/>
  </w:style>
  <w:style w:type="character" w:customStyle="1" w:styleId="aqj">
    <w:name w:val="aqj"/>
    <w:basedOn w:val="DefaultParagraphFont"/>
    <w:rsid w:val="00CB6F65"/>
  </w:style>
  <w:style w:type="paragraph" w:styleId="ListParagraph">
    <w:name w:val="List Paragraph"/>
    <w:basedOn w:val="Normal"/>
    <w:uiPriority w:val="34"/>
    <w:qFormat/>
    <w:rsid w:val="00786E7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E6F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Theme="minorHAnsi" w:hAnsi="Times New Roman" w:cs="Times New Roman"/>
      <w:color w:val="auto"/>
      <w:bdr w:val="none" w:sz="0" w:space="0" w:color="auto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AF"/>
    <w:rPr>
      <w:rFonts w:ascii="Segoe UI" w:eastAsia="Cambria" w:hAnsi="Segoe UI" w:cs="Segoe UI"/>
      <w:color w:val="000000"/>
      <w:sz w:val="18"/>
      <w:szCs w:val="18"/>
      <w:u w:color="000000"/>
      <w:lang w:val="en-US" w:eastAsia="en-US"/>
    </w:rPr>
  </w:style>
  <w:style w:type="paragraph" w:customStyle="1" w:styleId="m-3209106667921591370msolistparagraph">
    <w:name w:val="m_-3209106667921591370msolistparagraph"/>
    <w:basedOn w:val="Normal"/>
    <w:rsid w:val="00584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IN" w:eastAsia="en-IN"/>
    </w:rPr>
  </w:style>
  <w:style w:type="paragraph" w:customStyle="1" w:styleId="MediumGrid21">
    <w:name w:val="Medium Grid 21"/>
    <w:uiPriority w:val="1"/>
    <w:qFormat/>
    <w:rsid w:val="00250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2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 Negreta"/>
        <a:ea typeface="Tahoma Negreta"/>
        <a:cs typeface="Tahoma Negret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snq</dc:creator>
  <cp:lastModifiedBy>vmehta68@gmail.com</cp:lastModifiedBy>
  <cp:revision>2</cp:revision>
  <cp:lastPrinted>2020-02-01T12:00:00Z</cp:lastPrinted>
  <dcterms:created xsi:type="dcterms:W3CDTF">2020-02-01T11:42:00Z</dcterms:created>
  <dcterms:modified xsi:type="dcterms:W3CDTF">2020-02-01T11:42:00Z</dcterms:modified>
</cp:coreProperties>
</file>